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E42" w:rsidRDefault="00DE3E42"/>
    <w:p w:rsidR="00CA6BCB" w:rsidRPr="00E436F3" w:rsidRDefault="00DE3E42">
      <w:pPr>
        <w:rPr>
          <w:sz w:val="21"/>
          <w:szCs w:val="21"/>
        </w:rPr>
      </w:pPr>
      <w:r w:rsidRPr="00E436F3">
        <w:rPr>
          <w:sz w:val="21"/>
          <w:szCs w:val="21"/>
        </w:rPr>
        <w:t xml:space="preserve">In </w:t>
      </w:r>
      <w:r w:rsidR="007A5D49">
        <w:rPr>
          <w:sz w:val="21"/>
          <w:szCs w:val="21"/>
        </w:rPr>
        <w:t xml:space="preserve">designing a staff development workshop over building classroom communities rich in relational capacity, it is important to set the stage for learning by purposefully and thoughtfully </w:t>
      </w:r>
      <w:r w:rsidRPr="00E436F3">
        <w:rPr>
          <w:sz w:val="21"/>
          <w:szCs w:val="21"/>
        </w:rPr>
        <w:t xml:space="preserve">aligning </w:t>
      </w:r>
      <w:r w:rsidR="007A5D49">
        <w:rPr>
          <w:sz w:val="21"/>
          <w:szCs w:val="21"/>
        </w:rPr>
        <w:t xml:space="preserve">the </w:t>
      </w:r>
      <w:r w:rsidRPr="00E436F3">
        <w:rPr>
          <w:sz w:val="21"/>
          <w:szCs w:val="21"/>
        </w:rPr>
        <w:t>outcomes, assessment</w:t>
      </w:r>
      <w:r w:rsidR="007A5D49">
        <w:rPr>
          <w:sz w:val="21"/>
          <w:szCs w:val="21"/>
        </w:rPr>
        <w:t>s</w:t>
      </w:r>
      <w:r w:rsidRPr="00E436F3">
        <w:rPr>
          <w:sz w:val="21"/>
          <w:szCs w:val="21"/>
        </w:rPr>
        <w:t xml:space="preserve"> and</w:t>
      </w:r>
      <w:r w:rsidR="007A5D49">
        <w:rPr>
          <w:sz w:val="21"/>
          <w:szCs w:val="21"/>
        </w:rPr>
        <w:t xml:space="preserve"> activities </w:t>
      </w:r>
      <w:r w:rsidR="0043334C">
        <w:rPr>
          <w:sz w:val="21"/>
          <w:szCs w:val="21"/>
        </w:rPr>
        <w:t xml:space="preserve">presented in the training.  </w:t>
      </w:r>
      <w:r w:rsidRPr="00E436F3">
        <w:rPr>
          <w:sz w:val="21"/>
          <w:szCs w:val="21"/>
        </w:rPr>
        <w:t xml:space="preserve"> </w:t>
      </w:r>
      <w:r w:rsidR="007A5D49">
        <w:rPr>
          <w:sz w:val="21"/>
          <w:szCs w:val="21"/>
        </w:rPr>
        <w:t xml:space="preserve"> </w:t>
      </w:r>
      <w:r w:rsidRPr="00E436F3">
        <w:rPr>
          <w:sz w:val="21"/>
          <w:szCs w:val="21"/>
        </w:rPr>
        <w:t xml:space="preserve">  </w:t>
      </w:r>
    </w:p>
    <w:p w:rsidR="00CA6BCB" w:rsidRPr="00E436F3" w:rsidRDefault="00CA6BCB">
      <w:pPr>
        <w:rPr>
          <w:sz w:val="21"/>
          <w:szCs w:val="21"/>
        </w:rPr>
      </w:pPr>
      <w:r w:rsidRPr="00E436F3">
        <w:rPr>
          <w:sz w:val="21"/>
          <w:szCs w:val="21"/>
        </w:rPr>
        <w:t xml:space="preserve">The nature of relational capacity as a course of learning is a combination of theoretical thinking and practical application.  Ideally designed to assist elective teachers in building significant learning communities, relational capacity strategies have proven to aid in the production of student success in core content subjects as well.  </w:t>
      </w:r>
    </w:p>
    <w:p w:rsidR="008C7781" w:rsidRPr="00E436F3" w:rsidRDefault="00CA6BCB">
      <w:pPr>
        <w:rPr>
          <w:sz w:val="21"/>
          <w:szCs w:val="21"/>
        </w:rPr>
      </w:pPr>
      <w:r w:rsidRPr="00E436F3">
        <w:rPr>
          <w:sz w:val="21"/>
          <w:szCs w:val="21"/>
        </w:rPr>
        <w:t xml:space="preserve">The type of student who benefits the most from classrooms high in relational capacity are traditionally from low socio-economic backgrounds falling in the academic middle and are usually a first generation college goer.  Students are often shy and reluctant about sharing their feelings and collaborating in a group setting but as their trust builds, so does their confidence.  </w:t>
      </w:r>
      <w:r w:rsidR="00746F43">
        <w:rPr>
          <w:sz w:val="21"/>
          <w:szCs w:val="21"/>
        </w:rPr>
        <w:t>One can expect, a</w:t>
      </w:r>
      <w:r w:rsidR="00403BAC" w:rsidRPr="00E436F3">
        <w:rPr>
          <w:sz w:val="21"/>
          <w:szCs w:val="21"/>
        </w:rPr>
        <w:t xml:space="preserve">bout mid-way through the course, a tight-knit community </w:t>
      </w:r>
      <w:r w:rsidR="00746F43">
        <w:rPr>
          <w:sz w:val="21"/>
          <w:szCs w:val="21"/>
        </w:rPr>
        <w:t xml:space="preserve">of learners </w:t>
      </w:r>
      <w:r w:rsidR="008C1C78">
        <w:rPr>
          <w:sz w:val="21"/>
          <w:szCs w:val="21"/>
        </w:rPr>
        <w:t xml:space="preserve">to form </w:t>
      </w:r>
      <w:r w:rsidR="00403BAC" w:rsidRPr="00E436F3">
        <w:rPr>
          <w:sz w:val="21"/>
          <w:szCs w:val="21"/>
        </w:rPr>
        <w:t xml:space="preserve">with a shared vision of success in a global society.  </w:t>
      </w:r>
    </w:p>
    <w:p w:rsidR="00FB3D14" w:rsidRPr="00E436F3" w:rsidRDefault="008C7781">
      <w:pPr>
        <w:rPr>
          <w:sz w:val="21"/>
          <w:szCs w:val="21"/>
        </w:rPr>
      </w:pPr>
      <w:r w:rsidRPr="00E436F3">
        <w:rPr>
          <w:sz w:val="21"/>
          <w:szCs w:val="21"/>
        </w:rPr>
        <w:t>Moving students through the four</w:t>
      </w:r>
      <w:r w:rsidR="00DA0CB4">
        <w:rPr>
          <w:sz w:val="21"/>
          <w:szCs w:val="21"/>
        </w:rPr>
        <w:t xml:space="preserve"> stages of relational capacity should</w:t>
      </w:r>
      <w:r w:rsidRPr="00E436F3">
        <w:rPr>
          <w:sz w:val="21"/>
          <w:szCs w:val="21"/>
        </w:rPr>
        <w:t xml:space="preserve"> be done with care.  Teachers must be tuned into students’ needs and plan activities that are thoughtful and purposeful for the current stage of learning.  The goal of the teacher is to assist students through all four stages of relational capacity reaching a point where learning becomes completely student driven with the teacher serving merely as a guide.  </w:t>
      </w:r>
      <w:r w:rsidR="00EB324F" w:rsidRPr="00E436F3">
        <w:rPr>
          <w:sz w:val="21"/>
          <w:szCs w:val="21"/>
        </w:rPr>
        <w:t xml:space="preserve">The teacher must be very familiar with the four stages of relational capacity as each class chemistry will not follow the stages in a linear path.  Adapting </w:t>
      </w:r>
      <w:r w:rsidR="00DA0CB4">
        <w:rPr>
          <w:sz w:val="21"/>
          <w:szCs w:val="21"/>
        </w:rPr>
        <w:t>activities at the last minute</w:t>
      </w:r>
      <w:r w:rsidR="00EB324F" w:rsidRPr="00E436F3">
        <w:rPr>
          <w:sz w:val="21"/>
          <w:szCs w:val="21"/>
        </w:rPr>
        <w:t xml:space="preserve"> according to th</w:t>
      </w:r>
      <w:r w:rsidR="00DA0CB4">
        <w:rPr>
          <w:sz w:val="21"/>
          <w:szCs w:val="21"/>
        </w:rPr>
        <w:t>e daily needs of the students is</w:t>
      </w:r>
      <w:r w:rsidR="00EB324F" w:rsidRPr="00E436F3">
        <w:rPr>
          <w:sz w:val="21"/>
          <w:szCs w:val="21"/>
        </w:rPr>
        <w:t xml:space="preserve"> expected.  For relational capacity to tak</w:t>
      </w:r>
      <w:r w:rsidR="00DA0CB4">
        <w:rPr>
          <w:sz w:val="21"/>
          <w:szCs w:val="21"/>
        </w:rPr>
        <w:t>e root and grow, teachers must</w:t>
      </w:r>
      <w:r w:rsidR="00EB324F" w:rsidRPr="00E436F3">
        <w:rPr>
          <w:sz w:val="21"/>
          <w:szCs w:val="21"/>
        </w:rPr>
        <w:t xml:space="preserve"> be strong in making connections with students.  Teachers should model, model, model positive behaviors for students while providing stability, honesty, loyalty and love.  </w:t>
      </w:r>
    </w:p>
    <w:p w:rsidR="005C5286" w:rsidRPr="00E436F3" w:rsidRDefault="00FB3D14">
      <w:pPr>
        <w:rPr>
          <w:sz w:val="21"/>
          <w:szCs w:val="21"/>
        </w:rPr>
      </w:pPr>
      <w:r w:rsidRPr="00E436F3">
        <w:rPr>
          <w:sz w:val="21"/>
          <w:szCs w:val="21"/>
        </w:rPr>
        <w:t xml:space="preserve">In formulating significant learning goals, my hope is that a year from completion of this staff development workshop, </w:t>
      </w:r>
      <w:r w:rsidR="00DB5AA8" w:rsidRPr="00E436F3">
        <w:rPr>
          <w:sz w:val="21"/>
          <w:szCs w:val="21"/>
        </w:rPr>
        <w:t xml:space="preserve">teachers will regularly implement </w:t>
      </w:r>
      <w:r w:rsidR="005C5286" w:rsidRPr="00E436F3">
        <w:rPr>
          <w:sz w:val="21"/>
          <w:szCs w:val="21"/>
        </w:rPr>
        <w:t xml:space="preserve">with fidelity </w:t>
      </w:r>
      <w:r w:rsidR="00DB5AA8" w:rsidRPr="00E436F3">
        <w:rPr>
          <w:sz w:val="21"/>
          <w:szCs w:val="21"/>
        </w:rPr>
        <w:t>relational capacity strate</w:t>
      </w:r>
      <w:r w:rsidR="005C5286" w:rsidRPr="00E436F3">
        <w:rPr>
          <w:sz w:val="21"/>
          <w:szCs w:val="21"/>
        </w:rPr>
        <w:t xml:space="preserve">gies throughout their curriculum because the benefits of creating a highly engaged, collaborative community of learners yields better results in achievement and produces life-long advantages.  </w:t>
      </w:r>
    </w:p>
    <w:p w:rsidR="00C40649" w:rsidRPr="00E436F3" w:rsidRDefault="00C40649">
      <w:pPr>
        <w:rPr>
          <w:sz w:val="21"/>
          <w:szCs w:val="21"/>
        </w:rPr>
      </w:pPr>
      <w:r w:rsidRPr="00E436F3">
        <w:rPr>
          <w:sz w:val="21"/>
          <w:szCs w:val="21"/>
        </w:rPr>
        <w:t>That being said, my Big Hairy Audacious Goal for this course is to create positive classroom cultures by integrating relational capacity into school wide curriculum.  The foundation of relational capacity is built around developing a high degree of trust and level of safety between members of a group.  In understanding the purpose of relational capacity in community building, it is important for the learner to reflect and connect strategies to real world situations.  Critical, creative and practical thinking skills along with communication, conflict resolution and leadership skills are all vital</w:t>
      </w:r>
      <w:r w:rsidR="00DA0CB4">
        <w:rPr>
          <w:sz w:val="21"/>
          <w:szCs w:val="21"/>
        </w:rPr>
        <w:t xml:space="preserve"> to student success when </w:t>
      </w:r>
      <w:r w:rsidRPr="00E436F3">
        <w:rPr>
          <w:sz w:val="21"/>
          <w:szCs w:val="21"/>
        </w:rPr>
        <w:t xml:space="preserve">managing complex projects in and out of school.  </w:t>
      </w:r>
    </w:p>
    <w:p w:rsidR="00770DCA" w:rsidRPr="00E436F3" w:rsidRDefault="00C40649">
      <w:pPr>
        <w:rPr>
          <w:sz w:val="21"/>
          <w:szCs w:val="21"/>
        </w:rPr>
      </w:pPr>
      <w:r w:rsidRPr="00E436F3">
        <w:rPr>
          <w:sz w:val="21"/>
          <w:szCs w:val="21"/>
        </w:rPr>
        <w:t xml:space="preserve">When integrating relational capacity strategies, one major connection to make is believing building community is your strongest ally </w:t>
      </w:r>
      <w:r w:rsidR="00244EE1" w:rsidRPr="00E436F3">
        <w:rPr>
          <w:sz w:val="21"/>
          <w:szCs w:val="21"/>
        </w:rPr>
        <w:t>when delivering content.  Another crucial connection for students to make is membership in a thriving learning community empowers one to ow</w:t>
      </w:r>
      <w:r w:rsidR="0093001C" w:rsidRPr="00E436F3">
        <w:rPr>
          <w:sz w:val="21"/>
          <w:szCs w:val="21"/>
        </w:rPr>
        <w:t>n their thinking and learning.  It is equally important for students to understand themselves as well as others.  Accepting how individual differences benefit the entire community helps students to embrace diversity and use challenges that occur with differing opinions as opportunities to deepen one’s own</w:t>
      </w:r>
      <w:r w:rsidR="00D74073" w:rsidRPr="00E436F3">
        <w:rPr>
          <w:sz w:val="21"/>
          <w:szCs w:val="21"/>
        </w:rPr>
        <w:t xml:space="preserve"> thinking and broaden learning.  </w:t>
      </w:r>
    </w:p>
    <w:p w:rsidR="00D74073" w:rsidRDefault="00770DCA">
      <w:pPr>
        <w:rPr>
          <w:sz w:val="21"/>
          <w:szCs w:val="21"/>
        </w:rPr>
      </w:pPr>
      <w:r w:rsidRPr="00E436F3">
        <w:rPr>
          <w:sz w:val="21"/>
          <w:szCs w:val="21"/>
        </w:rPr>
        <w:t>In adopting relational capacity strategies as a way of life, students build confidence, self-advocacy skills and above all the leadership skills necessar</w:t>
      </w:r>
      <w:r w:rsidR="00DA0CB4">
        <w:rPr>
          <w:sz w:val="21"/>
          <w:szCs w:val="21"/>
        </w:rPr>
        <w:t xml:space="preserve">y to lead themselves and others into a world filled with endless opportunities for success.  </w:t>
      </w:r>
    </w:p>
    <w:p w:rsidR="0043334C" w:rsidRDefault="0043334C" w:rsidP="00E436F3"/>
    <w:p w:rsidR="002806FE" w:rsidRDefault="002806FE" w:rsidP="00E436F3">
      <w:bookmarkStart w:id="0" w:name="_GoBack"/>
      <w:bookmarkEnd w:id="0"/>
    </w:p>
    <w:p w:rsidR="0043334C" w:rsidRDefault="0043334C" w:rsidP="00E436F3">
      <w:pPr>
        <w:rPr>
          <w:sz w:val="21"/>
          <w:szCs w:val="21"/>
        </w:rPr>
      </w:pPr>
      <w:r>
        <w:rPr>
          <w:sz w:val="21"/>
          <w:szCs w:val="21"/>
        </w:rPr>
        <w:lastRenderedPageBreak/>
        <w:t xml:space="preserve">The </w:t>
      </w:r>
      <w:r w:rsidRPr="00E436F3">
        <w:rPr>
          <w:sz w:val="21"/>
          <w:szCs w:val="21"/>
        </w:rPr>
        <w:t>Big Hairy Audacious Goal for this course is to create positive classroom cultures by integrating relational capacity into school wide curriculum.</w:t>
      </w:r>
    </w:p>
    <w:p w:rsidR="00D74073" w:rsidRDefault="0043334C">
      <w:r>
        <w:t xml:space="preserve">Chart Legend: </w:t>
      </w:r>
      <w:r w:rsidRPr="0043334C">
        <w:rPr>
          <w:b/>
        </w:rPr>
        <w:t>(S+)</w:t>
      </w:r>
      <w:r>
        <w:t xml:space="preserve"> designates scaffolding, </w:t>
      </w:r>
      <w:r w:rsidRPr="0043334C">
        <w:rPr>
          <w:b/>
        </w:rPr>
        <w:t>(C)</w:t>
      </w:r>
      <w:r>
        <w:t xml:space="preserve"> collaboration and </w:t>
      </w:r>
      <w:r w:rsidRPr="0043334C">
        <w:rPr>
          <w:b/>
        </w:rPr>
        <w:t>(TI)</w:t>
      </w:r>
      <w:r>
        <w:t xml:space="preserve"> technology integration opportunities</w:t>
      </w:r>
    </w:p>
    <w:tbl>
      <w:tblPr>
        <w:tblStyle w:val="TableGrid"/>
        <w:tblW w:w="0" w:type="auto"/>
        <w:tblLook w:val="04A0" w:firstRow="1" w:lastRow="0" w:firstColumn="1" w:lastColumn="0" w:noHBand="0" w:noVBand="1"/>
      </w:tblPr>
      <w:tblGrid>
        <w:gridCol w:w="3116"/>
        <w:gridCol w:w="3117"/>
        <w:gridCol w:w="3117"/>
      </w:tblGrid>
      <w:tr w:rsidR="00766048" w:rsidTr="00766048">
        <w:tc>
          <w:tcPr>
            <w:tcW w:w="3116" w:type="dxa"/>
          </w:tcPr>
          <w:p w:rsidR="00766048" w:rsidRPr="00766048" w:rsidRDefault="00766048">
            <w:pPr>
              <w:rPr>
                <w:b/>
              </w:rPr>
            </w:pPr>
            <w:r w:rsidRPr="00766048">
              <w:rPr>
                <w:b/>
              </w:rPr>
              <w:t>Learning Goals</w:t>
            </w:r>
          </w:p>
        </w:tc>
        <w:tc>
          <w:tcPr>
            <w:tcW w:w="3117" w:type="dxa"/>
          </w:tcPr>
          <w:p w:rsidR="00766048" w:rsidRPr="00766048" w:rsidRDefault="00766048">
            <w:pPr>
              <w:rPr>
                <w:b/>
              </w:rPr>
            </w:pPr>
            <w:r w:rsidRPr="00766048">
              <w:rPr>
                <w:b/>
              </w:rPr>
              <w:t>Learning Activities</w:t>
            </w:r>
          </w:p>
        </w:tc>
        <w:tc>
          <w:tcPr>
            <w:tcW w:w="3117" w:type="dxa"/>
          </w:tcPr>
          <w:p w:rsidR="00766048" w:rsidRPr="00766048" w:rsidRDefault="00766048">
            <w:pPr>
              <w:rPr>
                <w:b/>
              </w:rPr>
            </w:pPr>
            <w:r w:rsidRPr="00766048">
              <w:rPr>
                <w:b/>
              </w:rPr>
              <w:t>Assessment Activities</w:t>
            </w:r>
          </w:p>
        </w:tc>
      </w:tr>
      <w:tr w:rsidR="00766048" w:rsidTr="00766048">
        <w:tc>
          <w:tcPr>
            <w:tcW w:w="3116" w:type="dxa"/>
          </w:tcPr>
          <w:p w:rsidR="00766048" w:rsidRPr="00A5736B" w:rsidRDefault="00766048">
            <w:pPr>
              <w:rPr>
                <w:sz w:val="20"/>
                <w:szCs w:val="20"/>
              </w:rPr>
            </w:pPr>
            <w:r w:rsidRPr="00A5736B">
              <w:rPr>
                <w:rFonts w:ascii="Calibri" w:hAnsi="Calibri"/>
                <w:sz w:val="20"/>
                <w:szCs w:val="20"/>
              </w:rPr>
              <w:t>The learner will create welcoming, exciting high-energy classroom environments where students feel a sense of ownership in their learning.</w:t>
            </w:r>
          </w:p>
        </w:tc>
        <w:tc>
          <w:tcPr>
            <w:tcW w:w="3117" w:type="dxa"/>
          </w:tcPr>
          <w:p w:rsidR="00766048" w:rsidRPr="00A5736B" w:rsidRDefault="00CA1CDE">
            <w:pPr>
              <w:rPr>
                <w:sz w:val="20"/>
                <w:szCs w:val="20"/>
              </w:rPr>
            </w:pPr>
            <w:r w:rsidRPr="00A5736B">
              <w:rPr>
                <w:sz w:val="20"/>
                <w:szCs w:val="20"/>
              </w:rPr>
              <w:t>Review and discuss foundations and stages of Relational Capacity</w:t>
            </w:r>
          </w:p>
          <w:p w:rsidR="00CA1CDE" w:rsidRPr="00A5736B" w:rsidRDefault="00CA1CDE">
            <w:pPr>
              <w:rPr>
                <w:sz w:val="20"/>
                <w:szCs w:val="20"/>
              </w:rPr>
            </w:pPr>
          </w:p>
          <w:p w:rsidR="00CA1CDE" w:rsidRPr="000A1C9B" w:rsidRDefault="00CA1CDE">
            <w:pPr>
              <w:rPr>
                <w:b/>
                <w:sz w:val="20"/>
                <w:szCs w:val="20"/>
              </w:rPr>
            </w:pPr>
            <w:r w:rsidRPr="00A5736B">
              <w:rPr>
                <w:sz w:val="20"/>
                <w:szCs w:val="20"/>
              </w:rPr>
              <w:t>Name Tents</w:t>
            </w:r>
            <w:r w:rsidR="00A5736B">
              <w:rPr>
                <w:sz w:val="20"/>
                <w:szCs w:val="20"/>
              </w:rPr>
              <w:t xml:space="preserve"> </w:t>
            </w:r>
            <w:r w:rsidR="00A5736B" w:rsidRPr="000A1C9B">
              <w:rPr>
                <w:b/>
                <w:sz w:val="20"/>
                <w:szCs w:val="20"/>
              </w:rPr>
              <w:t>(S+</w:t>
            </w:r>
            <w:r w:rsidR="000A1C9B">
              <w:rPr>
                <w:b/>
                <w:sz w:val="20"/>
                <w:szCs w:val="20"/>
              </w:rPr>
              <w:t>, C</w:t>
            </w:r>
            <w:r w:rsidR="00A5736B" w:rsidRPr="000A1C9B">
              <w:rPr>
                <w:b/>
                <w:sz w:val="20"/>
                <w:szCs w:val="20"/>
              </w:rPr>
              <w:t>)</w:t>
            </w:r>
          </w:p>
          <w:p w:rsidR="00CA1CDE" w:rsidRPr="00A5736B" w:rsidRDefault="00CA1CDE">
            <w:pPr>
              <w:rPr>
                <w:sz w:val="20"/>
                <w:szCs w:val="20"/>
              </w:rPr>
            </w:pPr>
          </w:p>
          <w:p w:rsidR="00CA1CDE" w:rsidRPr="00A5736B" w:rsidRDefault="00CA1CDE">
            <w:pPr>
              <w:rPr>
                <w:sz w:val="20"/>
                <w:szCs w:val="20"/>
              </w:rPr>
            </w:pPr>
            <w:r w:rsidRPr="00A5736B">
              <w:rPr>
                <w:sz w:val="20"/>
                <w:szCs w:val="20"/>
              </w:rPr>
              <w:t xml:space="preserve">Class Mission Statement </w:t>
            </w:r>
            <w:r w:rsidR="00A5736B" w:rsidRPr="000A1C9B">
              <w:rPr>
                <w:b/>
                <w:sz w:val="20"/>
                <w:szCs w:val="20"/>
              </w:rPr>
              <w:t>(</w:t>
            </w:r>
            <w:r w:rsidR="000A1C9B" w:rsidRPr="000A1C9B">
              <w:rPr>
                <w:b/>
                <w:sz w:val="20"/>
                <w:szCs w:val="20"/>
              </w:rPr>
              <w:t xml:space="preserve">C, </w:t>
            </w:r>
            <w:r w:rsidR="00A5736B" w:rsidRPr="000A1C9B">
              <w:rPr>
                <w:b/>
                <w:sz w:val="20"/>
                <w:szCs w:val="20"/>
              </w:rPr>
              <w:t>TI)</w:t>
            </w:r>
          </w:p>
          <w:p w:rsidR="00CA1CDE" w:rsidRPr="00A5736B" w:rsidRDefault="00CA1CDE">
            <w:pPr>
              <w:rPr>
                <w:sz w:val="20"/>
                <w:szCs w:val="20"/>
              </w:rPr>
            </w:pPr>
          </w:p>
          <w:p w:rsidR="00CA1CDE" w:rsidRPr="00A5736B" w:rsidRDefault="00CA1CDE">
            <w:pPr>
              <w:rPr>
                <w:sz w:val="20"/>
                <w:szCs w:val="20"/>
              </w:rPr>
            </w:pPr>
            <w:r w:rsidRPr="00A5736B">
              <w:rPr>
                <w:sz w:val="20"/>
                <w:szCs w:val="20"/>
              </w:rPr>
              <w:t xml:space="preserve">Social Contracts </w:t>
            </w:r>
            <w:r w:rsidR="00A5736B" w:rsidRPr="000A1C9B">
              <w:rPr>
                <w:b/>
                <w:sz w:val="20"/>
                <w:szCs w:val="20"/>
              </w:rPr>
              <w:t>(</w:t>
            </w:r>
            <w:r w:rsidR="000A1C9B" w:rsidRPr="000A1C9B">
              <w:rPr>
                <w:b/>
                <w:sz w:val="20"/>
                <w:szCs w:val="20"/>
              </w:rPr>
              <w:t xml:space="preserve">C, </w:t>
            </w:r>
            <w:r w:rsidR="007624D5" w:rsidRPr="000A1C9B">
              <w:rPr>
                <w:b/>
                <w:sz w:val="20"/>
                <w:szCs w:val="20"/>
              </w:rPr>
              <w:t>TI)</w:t>
            </w:r>
          </w:p>
          <w:p w:rsidR="00CA1CDE" w:rsidRPr="00A5736B" w:rsidRDefault="00CA1CDE">
            <w:pPr>
              <w:rPr>
                <w:sz w:val="20"/>
                <w:szCs w:val="20"/>
              </w:rPr>
            </w:pPr>
          </w:p>
          <w:p w:rsidR="00CA1CDE" w:rsidRPr="00A5736B" w:rsidRDefault="00CA1CDE">
            <w:pPr>
              <w:rPr>
                <w:sz w:val="20"/>
                <w:szCs w:val="20"/>
              </w:rPr>
            </w:pPr>
            <w:r w:rsidRPr="00A5736B">
              <w:rPr>
                <w:sz w:val="20"/>
                <w:szCs w:val="20"/>
              </w:rPr>
              <w:t>Mingle Bingo</w:t>
            </w:r>
            <w:r w:rsidR="007624D5">
              <w:rPr>
                <w:sz w:val="20"/>
                <w:szCs w:val="20"/>
              </w:rPr>
              <w:t xml:space="preserve"> </w:t>
            </w:r>
            <w:r w:rsidR="007624D5" w:rsidRPr="000A1C9B">
              <w:rPr>
                <w:b/>
                <w:sz w:val="20"/>
                <w:szCs w:val="20"/>
              </w:rPr>
              <w:t>(TI, S+</w:t>
            </w:r>
            <w:r w:rsidR="000A1C9B" w:rsidRPr="000A1C9B">
              <w:rPr>
                <w:b/>
                <w:sz w:val="20"/>
                <w:szCs w:val="20"/>
              </w:rPr>
              <w:t>, C</w:t>
            </w:r>
            <w:r w:rsidR="007624D5" w:rsidRPr="000A1C9B">
              <w:rPr>
                <w:b/>
                <w:sz w:val="20"/>
                <w:szCs w:val="20"/>
              </w:rPr>
              <w:t>)</w:t>
            </w:r>
          </w:p>
        </w:tc>
        <w:tc>
          <w:tcPr>
            <w:tcW w:w="3117" w:type="dxa"/>
          </w:tcPr>
          <w:p w:rsidR="00766048" w:rsidRPr="00A5736B" w:rsidRDefault="00CA1CDE">
            <w:pPr>
              <w:rPr>
                <w:sz w:val="20"/>
                <w:szCs w:val="20"/>
              </w:rPr>
            </w:pPr>
            <w:r w:rsidRPr="00A5736B">
              <w:rPr>
                <w:sz w:val="20"/>
                <w:szCs w:val="20"/>
              </w:rPr>
              <w:t>Pre-Assessment Quiz for Teachers rating their current level of relational capacity support.</w:t>
            </w:r>
          </w:p>
          <w:p w:rsidR="00CA1CDE" w:rsidRPr="00A5736B" w:rsidRDefault="00CA1CDE">
            <w:pPr>
              <w:rPr>
                <w:sz w:val="20"/>
                <w:szCs w:val="20"/>
              </w:rPr>
            </w:pPr>
          </w:p>
          <w:p w:rsidR="00CA1CDE" w:rsidRPr="00A5736B" w:rsidRDefault="00CA1CDE">
            <w:pPr>
              <w:rPr>
                <w:sz w:val="20"/>
                <w:szCs w:val="20"/>
              </w:rPr>
            </w:pPr>
            <w:r w:rsidRPr="00A5736B">
              <w:rPr>
                <w:sz w:val="20"/>
                <w:szCs w:val="20"/>
              </w:rPr>
              <w:t>Training participants will Reflect and Connect the Stage 1 Relationa</w:t>
            </w:r>
            <w:r w:rsidR="00803BFF">
              <w:rPr>
                <w:sz w:val="20"/>
                <w:szCs w:val="20"/>
              </w:rPr>
              <w:t>l Capacity activities to use with</w:t>
            </w:r>
            <w:r w:rsidRPr="00A5736B">
              <w:rPr>
                <w:sz w:val="20"/>
                <w:szCs w:val="20"/>
              </w:rPr>
              <w:t xml:space="preserve"> purpose in their own classrooms.</w:t>
            </w:r>
          </w:p>
        </w:tc>
      </w:tr>
      <w:tr w:rsidR="00766048" w:rsidTr="00766048">
        <w:tc>
          <w:tcPr>
            <w:tcW w:w="3116" w:type="dxa"/>
          </w:tcPr>
          <w:p w:rsidR="00766048" w:rsidRPr="00A5736B" w:rsidRDefault="00766048">
            <w:pPr>
              <w:rPr>
                <w:sz w:val="20"/>
                <w:szCs w:val="20"/>
              </w:rPr>
            </w:pPr>
            <w:r w:rsidRPr="00A5736B">
              <w:rPr>
                <w:rFonts w:ascii="Calibri" w:hAnsi="Calibri"/>
                <w:sz w:val="20"/>
                <w:szCs w:val="20"/>
              </w:rPr>
              <w:t>The learner will build a culture of safety, honesty and mutual trust through the use of leveled relational capacity strategies.</w:t>
            </w:r>
          </w:p>
        </w:tc>
        <w:tc>
          <w:tcPr>
            <w:tcW w:w="3117" w:type="dxa"/>
          </w:tcPr>
          <w:p w:rsidR="00766048" w:rsidRPr="000A1C9B" w:rsidRDefault="001E4031">
            <w:pPr>
              <w:rPr>
                <w:b/>
                <w:sz w:val="20"/>
                <w:szCs w:val="20"/>
              </w:rPr>
            </w:pPr>
            <w:r w:rsidRPr="00A5736B">
              <w:rPr>
                <w:sz w:val="20"/>
                <w:szCs w:val="20"/>
              </w:rPr>
              <w:t>Question Beach Ball</w:t>
            </w:r>
            <w:r w:rsidR="000A1C9B">
              <w:rPr>
                <w:sz w:val="20"/>
                <w:szCs w:val="20"/>
              </w:rPr>
              <w:t xml:space="preserve"> </w:t>
            </w:r>
            <w:r w:rsidR="000A1C9B" w:rsidRPr="000A1C9B">
              <w:rPr>
                <w:b/>
                <w:sz w:val="20"/>
                <w:szCs w:val="20"/>
              </w:rPr>
              <w:t>(TI, S+)</w:t>
            </w:r>
          </w:p>
          <w:p w:rsidR="001E4031" w:rsidRPr="00A5736B" w:rsidRDefault="001E4031">
            <w:pPr>
              <w:rPr>
                <w:sz w:val="20"/>
                <w:szCs w:val="20"/>
              </w:rPr>
            </w:pPr>
          </w:p>
          <w:p w:rsidR="001E4031" w:rsidRPr="00A5736B" w:rsidRDefault="001E4031">
            <w:pPr>
              <w:rPr>
                <w:sz w:val="20"/>
                <w:szCs w:val="20"/>
              </w:rPr>
            </w:pPr>
            <w:r w:rsidRPr="00A5736B">
              <w:rPr>
                <w:sz w:val="20"/>
                <w:szCs w:val="20"/>
              </w:rPr>
              <w:t>Making Words With Friends</w:t>
            </w:r>
            <w:r w:rsidR="000A1C9B">
              <w:rPr>
                <w:sz w:val="20"/>
                <w:szCs w:val="20"/>
              </w:rPr>
              <w:t xml:space="preserve"> </w:t>
            </w:r>
            <w:r w:rsidR="000A1C9B" w:rsidRPr="000A1C9B">
              <w:rPr>
                <w:b/>
                <w:sz w:val="20"/>
                <w:szCs w:val="20"/>
              </w:rPr>
              <w:t>(S+, C)</w:t>
            </w:r>
          </w:p>
          <w:p w:rsidR="001E4031" w:rsidRPr="00A5736B" w:rsidRDefault="001E4031">
            <w:pPr>
              <w:rPr>
                <w:sz w:val="20"/>
                <w:szCs w:val="20"/>
              </w:rPr>
            </w:pPr>
          </w:p>
          <w:p w:rsidR="001E4031" w:rsidRPr="00A5736B" w:rsidRDefault="001E4031">
            <w:pPr>
              <w:rPr>
                <w:sz w:val="20"/>
                <w:szCs w:val="20"/>
              </w:rPr>
            </w:pPr>
            <w:r w:rsidRPr="00A5736B">
              <w:rPr>
                <w:sz w:val="20"/>
                <w:szCs w:val="20"/>
              </w:rPr>
              <w:t>Philosophical Chairs</w:t>
            </w:r>
            <w:r w:rsidR="000A1C9B">
              <w:rPr>
                <w:sz w:val="20"/>
                <w:szCs w:val="20"/>
              </w:rPr>
              <w:t xml:space="preserve"> </w:t>
            </w:r>
            <w:r w:rsidR="000A1C9B" w:rsidRPr="000A1C9B">
              <w:rPr>
                <w:b/>
                <w:sz w:val="20"/>
                <w:szCs w:val="20"/>
              </w:rPr>
              <w:t>(TI, S+, C)</w:t>
            </w:r>
          </w:p>
        </w:tc>
        <w:tc>
          <w:tcPr>
            <w:tcW w:w="3117" w:type="dxa"/>
          </w:tcPr>
          <w:p w:rsidR="00766048" w:rsidRPr="00A5736B" w:rsidRDefault="001E4031" w:rsidP="001E4031">
            <w:pPr>
              <w:rPr>
                <w:sz w:val="20"/>
                <w:szCs w:val="20"/>
              </w:rPr>
            </w:pPr>
            <w:r w:rsidRPr="00A5736B">
              <w:rPr>
                <w:sz w:val="20"/>
                <w:szCs w:val="20"/>
              </w:rPr>
              <w:t>D</w:t>
            </w:r>
            <w:r w:rsidR="005A48FD" w:rsidRPr="00A5736B">
              <w:rPr>
                <w:sz w:val="20"/>
                <w:szCs w:val="20"/>
              </w:rPr>
              <w:t>iscuss and Debrief</w:t>
            </w:r>
          </w:p>
          <w:p w:rsidR="001E4031" w:rsidRPr="00A5736B" w:rsidRDefault="001E4031" w:rsidP="001E4031">
            <w:pPr>
              <w:rPr>
                <w:sz w:val="20"/>
                <w:szCs w:val="20"/>
              </w:rPr>
            </w:pPr>
          </w:p>
          <w:p w:rsidR="001E4031" w:rsidRPr="00A5736B" w:rsidRDefault="00296138" w:rsidP="00296138">
            <w:pPr>
              <w:rPr>
                <w:sz w:val="20"/>
                <w:szCs w:val="20"/>
              </w:rPr>
            </w:pPr>
            <w:r w:rsidRPr="00A5736B">
              <w:rPr>
                <w:sz w:val="20"/>
                <w:szCs w:val="20"/>
              </w:rPr>
              <w:t>Training participants will Reflect and Connect the Stage 2 Relational</w:t>
            </w:r>
            <w:r w:rsidR="00803BFF">
              <w:rPr>
                <w:sz w:val="20"/>
                <w:szCs w:val="20"/>
              </w:rPr>
              <w:t xml:space="preserve"> Capacity activities to use with </w:t>
            </w:r>
            <w:r w:rsidRPr="00A5736B">
              <w:rPr>
                <w:sz w:val="20"/>
                <w:szCs w:val="20"/>
              </w:rPr>
              <w:t>purpose in their own classrooms.</w:t>
            </w:r>
          </w:p>
        </w:tc>
      </w:tr>
      <w:tr w:rsidR="00766048" w:rsidTr="00766048">
        <w:tc>
          <w:tcPr>
            <w:tcW w:w="3116" w:type="dxa"/>
          </w:tcPr>
          <w:p w:rsidR="00730B8F" w:rsidRPr="00A5736B" w:rsidRDefault="00730B8F" w:rsidP="00730B8F">
            <w:pPr>
              <w:rPr>
                <w:rFonts w:ascii="Calibri" w:hAnsi="Calibri"/>
                <w:sz w:val="20"/>
                <w:szCs w:val="20"/>
              </w:rPr>
            </w:pPr>
            <w:r w:rsidRPr="00A5736B">
              <w:rPr>
                <w:rFonts w:ascii="Calibri" w:hAnsi="Calibri"/>
                <w:sz w:val="20"/>
                <w:szCs w:val="20"/>
              </w:rPr>
              <w:t xml:space="preserve">The learner will engage students in constructing and monitoring high expectations and norms for the classroom through thoughtful and purposeful inquiry and problem solving.  </w:t>
            </w:r>
          </w:p>
          <w:p w:rsidR="00766048" w:rsidRPr="00A5736B" w:rsidRDefault="00766048">
            <w:pPr>
              <w:rPr>
                <w:sz w:val="20"/>
                <w:szCs w:val="20"/>
              </w:rPr>
            </w:pPr>
          </w:p>
        </w:tc>
        <w:tc>
          <w:tcPr>
            <w:tcW w:w="3117" w:type="dxa"/>
          </w:tcPr>
          <w:p w:rsidR="00766048" w:rsidRPr="00A5736B" w:rsidRDefault="005A48FD">
            <w:pPr>
              <w:rPr>
                <w:sz w:val="20"/>
                <w:szCs w:val="20"/>
              </w:rPr>
            </w:pPr>
            <w:r w:rsidRPr="00A5736B">
              <w:rPr>
                <w:sz w:val="20"/>
                <w:szCs w:val="20"/>
              </w:rPr>
              <w:t xml:space="preserve">Magic Carpet Ride </w:t>
            </w:r>
            <w:r w:rsidR="000A1C9B" w:rsidRPr="000A1C9B">
              <w:rPr>
                <w:b/>
                <w:sz w:val="20"/>
                <w:szCs w:val="20"/>
              </w:rPr>
              <w:t>(S+)</w:t>
            </w:r>
          </w:p>
          <w:p w:rsidR="00D0679F" w:rsidRPr="00A5736B" w:rsidRDefault="00D0679F">
            <w:pPr>
              <w:rPr>
                <w:sz w:val="20"/>
                <w:szCs w:val="20"/>
              </w:rPr>
            </w:pPr>
          </w:p>
          <w:p w:rsidR="00D0679F" w:rsidRPr="00A5736B" w:rsidRDefault="00D0679F">
            <w:pPr>
              <w:rPr>
                <w:sz w:val="20"/>
                <w:szCs w:val="20"/>
              </w:rPr>
            </w:pPr>
            <w:r w:rsidRPr="00A5736B">
              <w:rPr>
                <w:sz w:val="20"/>
                <w:szCs w:val="20"/>
              </w:rPr>
              <w:t>Maze</w:t>
            </w:r>
            <w:r w:rsidR="000A1C9B">
              <w:rPr>
                <w:sz w:val="20"/>
                <w:szCs w:val="20"/>
              </w:rPr>
              <w:t xml:space="preserve"> </w:t>
            </w:r>
            <w:r w:rsidR="000A1C9B" w:rsidRPr="000A1C9B">
              <w:rPr>
                <w:b/>
                <w:sz w:val="20"/>
                <w:szCs w:val="20"/>
              </w:rPr>
              <w:t>(C)</w:t>
            </w:r>
          </w:p>
          <w:p w:rsidR="00D0679F" w:rsidRPr="00A5736B" w:rsidRDefault="00D0679F">
            <w:pPr>
              <w:rPr>
                <w:sz w:val="20"/>
                <w:szCs w:val="20"/>
              </w:rPr>
            </w:pPr>
          </w:p>
          <w:p w:rsidR="00910BDD" w:rsidRPr="00A5736B" w:rsidRDefault="00910BDD" w:rsidP="00910BDD">
            <w:pPr>
              <w:rPr>
                <w:sz w:val="20"/>
                <w:szCs w:val="20"/>
              </w:rPr>
            </w:pPr>
            <w:r w:rsidRPr="00A5736B">
              <w:rPr>
                <w:sz w:val="20"/>
                <w:szCs w:val="20"/>
              </w:rPr>
              <w:t>Fishbowl Speeches</w:t>
            </w:r>
            <w:r w:rsidR="000A1C9B">
              <w:rPr>
                <w:sz w:val="20"/>
                <w:szCs w:val="20"/>
              </w:rPr>
              <w:t xml:space="preserve"> </w:t>
            </w:r>
            <w:r w:rsidRPr="00A5736B">
              <w:rPr>
                <w:sz w:val="20"/>
                <w:szCs w:val="20"/>
              </w:rPr>
              <w:t xml:space="preserve"> </w:t>
            </w:r>
            <w:r w:rsidR="000A1C9B" w:rsidRPr="000A1C9B">
              <w:rPr>
                <w:b/>
                <w:sz w:val="20"/>
                <w:szCs w:val="20"/>
              </w:rPr>
              <w:t>(TI, S+)</w:t>
            </w:r>
          </w:p>
          <w:p w:rsidR="00910BDD" w:rsidRPr="00A5736B" w:rsidRDefault="00910BDD" w:rsidP="00910BDD">
            <w:pPr>
              <w:rPr>
                <w:sz w:val="20"/>
                <w:szCs w:val="20"/>
              </w:rPr>
            </w:pPr>
          </w:p>
          <w:p w:rsidR="00D0679F" w:rsidRPr="00A5736B" w:rsidRDefault="00910BDD" w:rsidP="00910BDD">
            <w:pPr>
              <w:rPr>
                <w:sz w:val="20"/>
                <w:szCs w:val="20"/>
              </w:rPr>
            </w:pPr>
            <w:r w:rsidRPr="00A5736B">
              <w:rPr>
                <w:sz w:val="20"/>
                <w:szCs w:val="20"/>
              </w:rPr>
              <w:t>Who Is Telling The Truth?</w:t>
            </w:r>
            <w:r w:rsidR="000A1C9B">
              <w:rPr>
                <w:sz w:val="20"/>
                <w:szCs w:val="20"/>
              </w:rPr>
              <w:t xml:space="preserve"> </w:t>
            </w:r>
            <w:r w:rsidR="000A1C9B" w:rsidRPr="000A1C9B">
              <w:rPr>
                <w:b/>
                <w:sz w:val="20"/>
                <w:szCs w:val="20"/>
              </w:rPr>
              <w:t>(TI, S+, C)</w:t>
            </w:r>
          </w:p>
        </w:tc>
        <w:tc>
          <w:tcPr>
            <w:tcW w:w="3117" w:type="dxa"/>
          </w:tcPr>
          <w:p w:rsidR="00910BDD" w:rsidRPr="00A5736B" w:rsidRDefault="00910BDD" w:rsidP="00910BDD">
            <w:pPr>
              <w:rPr>
                <w:sz w:val="20"/>
                <w:szCs w:val="20"/>
              </w:rPr>
            </w:pPr>
            <w:r w:rsidRPr="00A5736B">
              <w:rPr>
                <w:sz w:val="20"/>
                <w:szCs w:val="20"/>
              </w:rPr>
              <w:t>Discuss and Debrief</w:t>
            </w:r>
          </w:p>
          <w:p w:rsidR="00910BDD" w:rsidRPr="00A5736B" w:rsidRDefault="00910BDD" w:rsidP="00910BDD">
            <w:pPr>
              <w:rPr>
                <w:sz w:val="20"/>
                <w:szCs w:val="20"/>
              </w:rPr>
            </w:pPr>
          </w:p>
          <w:p w:rsidR="00766048" w:rsidRPr="00A5736B" w:rsidRDefault="00910BDD" w:rsidP="00803BFF">
            <w:pPr>
              <w:rPr>
                <w:sz w:val="20"/>
                <w:szCs w:val="20"/>
              </w:rPr>
            </w:pPr>
            <w:r w:rsidRPr="00A5736B">
              <w:rPr>
                <w:sz w:val="20"/>
                <w:szCs w:val="20"/>
              </w:rPr>
              <w:t>Training participants will Reflect and Connect the Stage 3 Relationa</w:t>
            </w:r>
            <w:r w:rsidR="00803BFF">
              <w:rPr>
                <w:sz w:val="20"/>
                <w:szCs w:val="20"/>
              </w:rPr>
              <w:t xml:space="preserve">l Capacity activities to use with </w:t>
            </w:r>
            <w:r w:rsidRPr="00A5736B">
              <w:rPr>
                <w:sz w:val="20"/>
                <w:szCs w:val="20"/>
              </w:rPr>
              <w:t>purpose in their own classrooms.</w:t>
            </w:r>
          </w:p>
        </w:tc>
      </w:tr>
      <w:tr w:rsidR="00766048" w:rsidTr="00766048">
        <w:tc>
          <w:tcPr>
            <w:tcW w:w="3116" w:type="dxa"/>
          </w:tcPr>
          <w:p w:rsidR="00730B8F" w:rsidRPr="00A5736B" w:rsidRDefault="00730B8F" w:rsidP="00730B8F">
            <w:pPr>
              <w:rPr>
                <w:rFonts w:ascii="Calibri" w:hAnsi="Calibri"/>
                <w:sz w:val="20"/>
                <w:szCs w:val="20"/>
              </w:rPr>
            </w:pPr>
            <w:r w:rsidRPr="00A5736B">
              <w:rPr>
                <w:rFonts w:ascii="Calibri" w:hAnsi="Calibri"/>
                <w:sz w:val="20"/>
                <w:szCs w:val="20"/>
              </w:rPr>
              <w:t xml:space="preserve">The learner will explain how student differences benefit the classroom community by developing self-directing and self-advocating students who understand the power of multiple perspectives and their relation to the real world.  </w:t>
            </w:r>
          </w:p>
          <w:p w:rsidR="00766048" w:rsidRPr="00A5736B" w:rsidRDefault="00766048">
            <w:pPr>
              <w:rPr>
                <w:sz w:val="20"/>
                <w:szCs w:val="20"/>
              </w:rPr>
            </w:pPr>
          </w:p>
        </w:tc>
        <w:tc>
          <w:tcPr>
            <w:tcW w:w="3117" w:type="dxa"/>
          </w:tcPr>
          <w:p w:rsidR="00910BDD" w:rsidRPr="000A1C9B" w:rsidRDefault="00910BDD">
            <w:pPr>
              <w:rPr>
                <w:b/>
                <w:sz w:val="20"/>
                <w:szCs w:val="20"/>
              </w:rPr>
            </w:pPr>
            <w:r w:rsidRPr="00A5736B">
              <w:rPr>
                <w:sz w:val="20"/>
                <w:szCs w:val="20"/>
              </w:rPr>
              <w:t>Pencils of Density</w:t>
            </w:r>
            <w:r w:rsidR="000A1C9B">
              <w:rPr>
                <w:sz w:val="20"/>
                <w:szCs w:val="20"/>
              </w:rPr>
              <w:t xml:space="preserve"> </w:t>
            </w:r>
            <w:r w:rsidR="000A1C9B" w:rsidRPr="000A1C9B">
              <w:rPr>
                <w:b/>
                <w:sz w:val="20"/>
                <w:szCs w:val="20"/>
              </w:rPr>
              <w:t>(S+, C)</w:t>
            </w:r>
          </w:p>
          <w:p w:rsidR="00910BDD" w:rsidRPr="00A5736B" w:rsidRDefault="00910BDD">
            <w:pPr>
              <w:rPr>
                <w:sz w:val="20"/>
                <w:szCs w:val="20"/>
              </w:rPr>
            </w:pPr>
          </w:p>
          <w:p w:rsidR="00910BDD" w:rsidRPr="00A5736B" w:rsidRDefault="00910BDD">
            <w:pPr>
              <w:rPr>
                <w:sz w:val="20"/>
                <w:szCs w:val="20"/>
              </w:rPr>
            </w:pPr>
            <w:r w:rsidRPr="00A5736B">
              <w:rPr>
                <w:sz w:val="20"/>
                <w:szCs w:val="20"/>
              </w:rPr>
              <w:t>Sum of All Skittles</w:t>
            </w:r>
            <w:r w:rsidR="000A1C9B">
              <w:rPr>
                <w:sz w:val="20"/>
                <w:szCs w:val="20"/>
              </w:rPr>
              <w:t xml:space="preserve"> </w:t>
            </w:r>
            <w:r w:rsidR="000A1C9B" w:rsidRPr="000A1C9B">
              <w:rPr>
                <w:b/>
                <w:sz w:val="20"/>
                <w:szCs w:val="20"/>
              </w:rPr>
              <w:t>(C)</w:t>
            </w:r>
          </w:p>
          <w:p w:rsidR="00910BDD" w:rsidRPr="00A5736B" w:rsidRDefault="00910BDD">
            <w:pPr>
              <w:rPr>
                <w:sz w:val="20"/>
                <w:szCs w:val="20"/>
              </w:rPr>
            </w:pPr>
          </w:p>
          <w:p w:rsidR="00910BDD" w:rsidRPr="000A1C9B" w:rsidRDefault="00910BDD">
            <w:pPr>
              <w:rPr>
                <w:b/>
                <w:sz w:val="20"/>
                <w:szCs w:val="20"/>
              </w:rPr>
            </w:pPr>
            <w:r w:rsidRPr="00A5736B">
              <w:rPr>
                <w:sz w:val="20"/>
                <w:szCs w:val="20"/>
              </w:rPr>
              <w:t>My Friends</w:t>
            </w:r>
            <w:r w:rsidR="000A1C9B">
              <w:rPr>
                <w:sz w:val="20"/>
                <w:szCs w:val="20"/>
              </w:rPr>
              <w:t xml:space="preserve"> </w:t>
            </w:r>
            <w:r w:rsidR="000A1C9B" w:rsidRPr="000A1C9B">
              <w:rPr>
                <w:b/>
                <w:sz w:val="20"/>
                <w:szCs w:val="20"/>
              </w:rPr>
              <w:t>(TI)</w:t>
            </w:r>
          </w:p>
          <w:p w:rsidR="00910BDD" w:rsidRPr="00A5736B" w:rsidRDefault="00910BDD">
            <w:pPr>
              <w:rPr>
                <w:sz w:val="20"/>
                <w:szCs w:val="20"/>
              </w:rPr>
            </w:pPr>
          </w:p>
          <w:p w:rsidR="00910BDD" w:rsidRPr="00A5736B" w:rsidRDefault="00910BDD">
            <w:pPr>
              <w:rPr>
                <w:sz w:val="20"/>
                <w:szCs w:val="20"/>
              </w:rPr>
            </w:pPr>
          </w:p>
        </w:tc>
        <w:tc>
          <w:tcPr>
            <w:tcW w:w="3117" w:type="dxa"/>
          </w:tcPr>
          <w:p w:rsidR="00910BDD" w:rsidRPr="00A5736B" w:rsidRDefault="00910BDD" w:rsidP="00910BDD">
            <w:pPr>
              <w:rPr>
                <w:sz w:val="20"/>
                <w:szCs w:val="20"/>
              </w:rPr>
            </w:pPr>
            <w:r w:rsidRPr="00A5736B">
              <w:rPr>
                <w:sz w:val="20"/>
                <w:szCs w:val="20"/>
              </w:rPr>
              <w:t>Discuss and Debrief</w:t>
            </w:r>
          </w:p>
          <w:p w:rsidR="00910BDD" w:rsidRPr="00A5736B" w:rsidRDefault="00910BDD" w:rsidP="00910BDD">
            <w:pPr>
              <w:rPr>
                <w:sz w:val="20"/>
                <w:szCs w:val="20"/>
              </w:rPr>
            </w:pPr>
          </w:p>
          <w:p w:rsidR="00766048" w:rsidRPr="00A5736B" w:rsidRDefault="00910BDD" w:rsidP="00910BDD">
            <w:pPr>
              <w:rPr>
                <w:sz w:val="20"/>
                <w:szCs w:val="20"/>
              </w:rPr>
            </w:pPr>
            <w:r w:rsidRPr="00A5736B">
              <w:rPr>
                <w:sz w:val="20"/>
                <w:szCs w:val="20"/>
              </w:rPr>
              <w:t>Training participants will Reflect and Connect the Stage 4 Relational</w:t>
            </w:r>
            <w:r w:rsidR="00803BFF">
              <w:rPr>
                <w:sz w:val="20"/>
                <w:szCs w:val="20"/>
              </w:rPr>
              <w:t xml:space="preserve"> Capacity activities to use with </w:t>
            </w:r>
            <w:r w:rsidRPr="00A5736B">
              <w:rPr>
                <w:sz w:val="20"/>
                <w:szCs w:val="20"/>
              </w:rPr>
              <w:t>purpose in their own classrooms.</w:t>
            </w:r>
          </w:p>
        </w:tc>
      </w:tr>
      <w:tr w:rsidR="00766048" w:rsidTr="00766048">
        <w:tc>
          <w:tcPr>
            <w:tcW w:w="3116" w:type="dxa"/>
          </w:tcPr>
          <w:p w:rsidR="00730B8F" w:rsidRPr="00A5736B" w:rsidRDefault="00730B8F" w:rsidP="00730B8F">
            <w:pPr>
              <w:rPr>
                <w:rFonts w:ascii="Calibri" w:hAnsi="Calibri"/>
                <w:sz w:val="20"/>
                <w:szCs w:val="20"/>
              </w:rPr>
            </w:pPr>
            <w:r w:rsidRPr="00A5736B">
              <w:rPr>
                <w:rFonts w:ascii="Calibri" w:hAnsi="Calibri"/>
                <w:sz w:val="20"/>
                <w:szCs w:val="20"/>
              </w:rPr>
              <w:t xml:space="preserve">The learner will develop students’ abilities to utilize collaborative structures during blended and project based learning platforms.  </w:t>
            </w:r>
          </w:p>
          <w:p w:rsidR="00730B8F" w:rsidRPr="00A5736B" w:rsidRDefault="00730B8F" w:rsidP="00730B8F">
            <w:pPr>
              <w:pStyle w:val="ListParagraph"/>
              <w:rPr>
                <w:rFonts w:ascii="Calibri" w:hAnsi="Calibri"/>
                <w:sz w:val="20"/>
                <w:szCs w:val="20"/>
              </w:rPr>
            </w:pPr>
          </w:p>
          <w:p w:rsidR="00766048" w:rsidRPr="00A5736B" w:rsidRDefault="00766048">
            <w:pPr>
              <w:rPr>
                <w:sz w:val="20"/>
                <w:szCs w:val="20"/>
              </w:rPr>
            </w:pPr>
          </w:p>
        </w:tc>
        <w:tc>
          <w:tcPr>
            <w:tcW w:w="3117" w:type="dxa"/>
          </w:tcPr>
          <w:p w:rsidR="00766048" w:rsidRPr="00A5736B" w:rsidRDefault="00910BDD">
            <w:pPr>
              <w:rPr>
                <w:sz w:val="20"/>
                <w:szCs w:val="20"/>
              </w:rPr>
            </w:pPr>
            <w:r w:rsidRPr="00A5736B">
              <w:rPr>
                <w:sz w:val="20"/>
                <w:szCs w:val="20"/>
              </w:rPr>
              <w:t>Construct a Technology Toolbox by integrating technology into t</w:t>
            </w:r>
            <w:r w:rsidR="00D05B4C" w:rsidRPr="00A5736B">
              <w:rPr>
                <w:sz w:val="20"/>
                <w:szCs w:val="20"/>
              </w:rPr>
              <w:t xml:space="preserve">he activities by coding lessons with a </w:t>
            </w:r>
            <w:r w:rsidR="00D05B4C" w:rsidRPr="000A1C9B">
              <w:rPr>
                <w:b/>
                <w:sz w:val="20"/>
                <w:szCs w:val="20"/>
              </w:rPr>
              <w:t>(TI)</w:t>
            </w:r>
          </w:p>
          <w:p w:rsidR="00D05B4C" w:rsidRPr="00A5736B" w:rsidRDefault="00D05B4C">
            <w:pPr>
              <w:rPr>
                <w:sz w:val="20"/>
                <w:szCs w:val="20"/>
              </w:rPr>
            </w:pPr>
          </w:p>
          <w:p w:rsidR="00D05B4C" w:rsidRPr="000A1C9B" w:rsidRDefault="00D05B4C">
            <w:pPr>
              <w:rPr>
                <w:b/>
                <w:sz w:val="20"/>
                <w:szCs w:val="20"/>
              </w:rPr>
            </w:pPr>
            <w:r w:rsidRPr="00A5736B">
              <w:rPr>
                <w:sz w:val="20"/>
                <w:szCs w:val="20"/>
              </w:rPr>
              <w:t xml:space="preserve">Identify areas for Collaboration by designating lessons with a </w:t>
            </w:r>
            <w:r w:rsidRPr="000A1C9B">
              <w:rPr>
                <w:b/>
                <w:sz w:val="20"/>
                <w:szCs w:val="20"/>
              </w:rPr>
              <w:t>(C)</w:t>
            </w:r>
          </w:p>
          <w:p w:rsidR="00910BDD" w:rsidRPr="00A5736B" w:rsidRDefault="00910BDD">
            <w:pPr>
              <w:rPr>
                <w:sz w:val="20"/>
                <w:szCs w:val="20"/>
              </w:rPr>
            </w:pPr>
          </w:p>
          <w:p w:rsidR="00910BDD" w:rsidRPr="00A5736B" w:rsidRDefault="00910BDD" w:rsidP="00D05B4C">
            <w:pPr>
              <w:rPr>
                <w:sz w:val="20"/>
                <w:szCs w:val="20"/>
              </w:rPr>
            </w:pPr>
            <w:r w:rsidRPr="00A5736B">
              <w:rPr>
                <w:sz w:val="20"/>
                <w:szCs w:val="20"/>
              </w:rPr>
              <w:t xml:space="preserve">Increase Scaffolding into the activities </w:t>
            </w:r>
            <w:r w:rsidR="00D05B4C" w:rsidRPr="00A5736B">
              <w:rPr>
                <w:sz w:val="20"/>
                <w:szCs w:val="20"/>
              </w:rPr>
              <w:t xml:space="preserve">by </w:t>
            </w:r>
            <w:r w:rsidRPr="00A5736B">
              <w:rPr>
                <w:sz w:val="20"/>
                <w:szCs w:val="20"/>
              </w:rPr>
              <w:t>cod</w:t>
            </w:r>
            <w:r w:rsidR="00D05B4C" w:rsidRPr="00A5736B">
              <w:rPr>
                <w:sz w:val="20"/>
                <w:szCs w:val="20"/>
              </w:rPr>
              <w:t>ing lessons</w:t>
            </w:r>
            <w:r w:rsidRPr="00A5736B">
              <w:rPr>
                <w:sz w:val="20"/>
                <w:szCs w:val="20"/>
              </w:rPr>
              <w:t xml:space="preserve"> with a </w:t>
            </w:r>
            <w:r w:rsidRPr="000A1C9B">
              <w:rPr>
                <w:b/>
                <w:sz w:val="20"/>
                <w:szCs w:val="20"/>
              </w:rPr>
              <w:t>(+S)</w:t>
            </w:r>
            <w:r w:rsidRPr="00A5736B">
              <w:rPr>
                <w:sz w:val="20"/>
                <w:szCs w:val="20"/>
              </w:rPr>
              <w:t xml:space="preserve"> </w:t>
            </w:r>
          </w:p>
        </w:tc>
        <w:tc>
          <w:tcPr>
            <w:tcW w:w="3117" w:type="dxa"/>
          </w:tcPr>
          <w:p w:rsidR="00766048" w:rsidRPr="00A5736B" w:rsidRDefault="00910BDD">
            <w:pPr>
              <w:rPr>
                <w:sz w:val="20"/>
                <w:szCs w:val="20"/>
              </w:rPr>
            </w:pPr>
            <w:r w:rsidRPr="00A5736B">
              <w:rPr>
                <w:sz w:val="20"/>
                <w:szCs w:val="20"/>
              </w:rPr>
              <w:t>Training participants will revisit all activities and discuss ways to integrate technology</w:t>
            </w:r>
            <w:r w:rsidR="00952586">
              <w:rPr>
                <w:sz w:val="20"/>
                <w:szCs w:val="20"/>
              </w:rPr>
              <w:t>, i</w:t>
            </w:r>
            <w:r w:rsidR="00920881">
              <w:rPr>
                <w:sz w:val="20"/>
                <w:szCs w:val="20"/>
              </w:rPr>
              <w:t>dentify</w:t>
            </w:r>
            <w:r w:rsidR="00952586">
              <w:rPr>
                <w:sz w:val="20"/>
                <w:szCs w:val="20"/>
              </w:rPr>
              <w:t xml:space="preserve"> collaboration</w:t>
            </w:r>
            <w:r w:rsidRPr="00A5736B">
              <w:rPr>
                <w:sz w:val="20"/>
                <w:szCs w:val="20"/>
              </w:rPr>
              <w:t xml:space="preserve"> and increase scaffolding into each lesson.  </w:t>
            </w:r>
          </w:p>
          <w:p w:rsidR="00910BDD" w:rsidRPr="00A5736B" w:rsidRDefault="00910BDD">
            <w:pPr>
              <w:rPr>
                <w:sz w:val="20"/>
                <w:szCs w:val="20"/>
              </w:rPr>
            </w:pPr>
          </w:p>
          <w:p w:rsidR="00910BDD" w:rsidRPr="00A5736B" w:rsidRDefault="00910BDD" w:rsidP="00055C79">
            <w:pPr>
              <w:rPr>
                <w:sz w:val="20"/>
                <w:szCs w:val="20"/>
              </w:rPr>
            </w:pPr>
            <w:r w:rsidRPr="00A5736B">
              <w:rPr>
                <w:sz w:val="20"/>
                <w:szCs w:val="20"/>
              </w:rPr>
              <w:t>Make and Take Tech Toolbox</w:t>
            </w:r>
          </w:p>
        </w:tc>
      </w:tr>
      <w:tr w:rsidR="00766048" w:rsidTr="00766048">
        <w:tc>
          <w:tcPr>
            <w:tcW w:w="3116" w:type="dxa"/>
          </w:tcPr>
          <w:p w:rsidR="00730B8F" w:rsidRPr="00A5736B" w:rsidRDefault="00730B8F" w:rsidP="00730B8F">
            <w:pPr>
              <w:rPr>
                <w:rFonts w:ascii="Calibri" w:hAnsi="Calibri"/>
                <w:sz w:val="20"/>
                <w:szCs w:val="20"/>
              </w:rPr>
            </w:pPr>
            <w:r w:rsidRPr="00A5736B">
              <w:rPr>
                <w:rFonts w:ascii="Calibri" w:hAnsi="Calibri"/>
                <w:sz w:val="20"/>
                <w:szCs w:val="20"/>
              </w:rPr>
              <w:t xml:space="preserve">The learner will model effective questioning techniques that guide student use of critical </w:t>
            </w:r>
            <w:r w:rsidR="00D0679F" w:rsidRPr="00A5736B">
              <w:rPr>
                <w:rFonts w:ascii="Calibri" w:hAnsi="Calibri"/>
                <w:sz w:val="20"/>
                <w:szCs w:val="20"/>
              </w:rPr>
              <w:t xml:space="preserve">thinking skills </w:t>
            </w:r>
            <w:r w:rsidRPr="00A5736B">
              <w:rPr>
                <w:rFonts w:ascii="Calibri" w:hAnsi="Calibri"/>
                <w:sz w:val="20"/>
                <w:szCs w:val="20"/>
              </w:rPr>
              <w:t xml:space="preserve">necessary for success in a global society.  </w:t>
            </w:r>
          </w:p>
          <w:p w:rsidR="00766048" w:rsidRPr="00A5736B" w:rsidRDefault="00766048">
            <w:pPr>
              <w:rPr>
                <w:sz w:val="20"/>
                <w:szCs w:val="20"/>
              </w:rPr>
            </w:pPr>
          </w:p>
        </w:tc>
        <w:tc>
          <w:tcPr>
            <w:tcW w:w="3117" w:type="dxa"/>
          </w:tcPr>
          <w:p w:rsidR="00766048" w:rsidRPr="00A5736B" w:rsidRDefault="00975AC2">
            <w:pPr>
              <w:rPr>
                <w:sz w:val="20"/>
                <w:szCs w:val="20"/>
              </w:rPr>
            </w:pPr>
            <w:r w:rsidRPr="00A5736B">
              <w:rPr>
                <w:sz w:val="20"/>
                <w:szCs w:val="20"/>
              </w:rPr>
              <w:t>Socratic Seminar</w:t>
            </w:r>
            <w:r w:rsidR="000A1C9B">
              <w:rPr>
                <w:sz w:val="20"/>
                <w:szCs w:val="20"/>
              </w:rPr>
              <w:t xml:space="preserve"> </w:t>
            </w:r>
            <w:r w:rsidR="000A1C9B" w:rsidRPr="000A1C9B">
              <w:rPr>
                <w:b/>
                <w:sz w:val="20"/>
                <w:szCs w:val="20"/>
              </w:rPr>
              <w:t>(TI, S+</w:t>
            </w:r>
            <w:r w:rsidR="000A1C9B">
              <w:rPr>
                <w:b/>
                <w:sz w:val="20"/>
                <w:szCs w:val="20"/>
              </w:rPr>
              <w:t>, C</w:t>
            </w:r>
            <w:r w:rsidR="000A1C9B" w:rsidRPr="000A1C9B">
              <w:rPr>
                <w:b/>
                <w:sz w:val="20"/>
                <w:szCs w:val="20"/>
              </w:rPr>
              <w:t>)</w:t>
            </w:r>
          </w:p>
        </w:tc>
        <w:tc>
          <w:tcPr>
            <w:tcW w:w="3117" w:type="dxa"/>
          </w:tcPr>
          <w:p w:rsidR="00766048" w:rsidRDefault="00A2650F">
            <w:pPr>
              <w:rPr>
                <w:sz w:val="20"/>
                <w:szCs w:val="20"/>
              </w:rPr>
            </w:pPr>
            <w:r w:rsidRPr="00A5736B">
              <w:rPr>
                <w:sz w:val="20"/>
                <w:szCs w:val="20"/>
              </w:rPr>
              <w:t>Relational Capaci</w:t>
            </w:r>
            <w:r w:rsidR="00D07823">
              <w:rPr>
                <w:sz w:val="20"/>
                <w:szCs w:val="20"/>
              </w:rPr>
              <w:t>ty activities have now completely</w:t>
            </w:r>
            <w:r w:rsidRPr="00A5736B">
              <w:rPr>
                <w:sz w:val="20"/>
                <w:szCs w:val="20"/>
              </w:rPr>
              <w:t xml:space="preserve"> shifted to 100% student centered</w:t>
            </w:r>
            <w:r w:rsidR="00895C9E" w:rsidRPr="00A5736B">
              <w:rPr>
                <w:sz w:val="20"/>
                <w:szCs w:val="20"/>
              </w:rPr>
              <w:t xml:space="preserve"> with little teacher guidance.  </w:t>
            </w:r>
          </w:p>
          <w:p w:rsidR="00A5736B" w:rsidRPr="00A5736B" w:rsidRDefault="00A5736B">
            <w:pPr>
              <w:rPr>
                <w:sz w:val="20"/>
                <w:szCs w:val="20"/>
              </w:rPr>
            </w:pPr>
          </w:p>
          <w:p w:rsidR="00895C9E" w:rsidRPr="00A5736B" w:rsidRDefault="00895C9E" w:rsidP="00895C9E">
            <w:pPr>
              <w:rPr>
                <w:sz w:val="20"/>
                <w:szCs w:val="20"/>
              </w:rPr>
            </w:pPr>
            <w:r w:rsidRPr="00A5736B">
              <w:rPr>
                <w:sz w:val="20"/>
                <w:szCs w:val="20"/>
              </w:rPr>
              <w:t>Post-Assessment Quiz for Teachers rating their current level of relational capacity support.</w:t>
            </w:r>
          </w:p>
        </w:tc>
      </w:tr>
    </w:tbl>
    <w:p w:rsidR="00835C93" w:rsidRDefault="00EA5449" w:rsidP="00D74073">
      <w:r w:rsidRPr="00EA5449">
        <w:rPr>
          <w:rStyle w:val="f149"/>
          <w:rFonts w:cs="Arial"/>
          <w:color w:val="000000"/>
          <w:sz w:val="18"/>
          <w:szCs w:val="18"/>
          <w:shd w:val="clear" w:color="auto" w:fill="FFFFFF"/>
        </w:rPr>
        <w:t xml:space="preserve">Bendall, P., </w:t>
      </w:r>
      <w:proofErr w:type="spellStart"/>
      <w:r w:rsidRPr="00EA5449">
        <w:rPr>
          <w:rStyle w:val="f149"/>
          <w:rFonts w:cs="Arial"/>
          <w:color w:val="000000"/>
          <w:sz w:val="18"/>
          <w:szCs w:val="18"/>
          <w:shd w:val="clear" w:color="auto" w:fill="FFFFFF"/>
        </w:rPr>
        <w:t>Bollhoefer</w:t>
      </w:r>
      <w:proofErr w:type="spellEnd"/>
      <w:r w:rsidRPr="00EA5449">
        <w:rPr>
          <w:rStyle w:val="f149"/>
          <w:rFonts w:cs="Arial"/>
          <w:color w:val="000000"/>
          <w:sz w:val="18"/>
          <w:szCs w:val="18"/>
          <w:shd w:val="clear" w:color="auto" w:fill="FFFFFF"/>
        </w:rPr>
        <w:t xml:space="preserve">, A., &amp; </w:t>
      </w:r>
      <w:proofErr w:type="spellStart"/>
      <w:r w:rsidRPr="00EA5449">
        <w:rPr>
          <w:rStyle w:val="f149"/>
          <w:rFonts w:cs="Arial"/>
          <w:color w:val="000000"/>
          <w:sz w:val="18"/>
          <w:szCs w:val="18"/>
          <w:shd w:val="clear" w:color="auto" w:fill="FFFFFF"/>
        </w:rPr>
        <w:t>Koilpillai</w:t>
      </w:r>
      <w:proofErr w:type="spellEnd"/>
      <w:r w:rsidRPr="00EA5449">
        <w:rPr>
          <w:rStyle w:val="f149"/>
          <w:rFonts w:cs="Arial"/>
          <w:color w:val="000000"/>
          <w:sz w:val="18"/>
          <w:szCs w:val="18"/>
          <w:shd w:val="clear" w:color="auto" w:fill="FFFFFF"/>
        </w:rPr>
        <w:t>, V.</w:t>
      </w:r>
      <w:r w:rsidRPr="00EA5449">
        <w:rPr>
          <w:rStyle w:val="sp"/>
          <w:rFonts w:cs="Arial"/>
          <w:color w:val="000000"/>
          <w:sz w:val="18"/>
          <w:szCs w:val="18"/>
          <w:shd w:val="clear" w:color="auto" w:fill="FFFFFF"/>
        </w:rPr>
        <w:t xml:space="preserve"> </w:t>
      </w:r>
      <w:r w:rsidRPr="00EA5449">
        <w:rPr>
          <w:rStyle w:val="f149"/>
          <w:rFonts w:cs="Arial"/>
          <w:color w:val="000000"/>
          <w:sz w:val="18"/>
          <w:szCs w:val="18"/>
          <w:shd w:val="clear" w:color="auto" w:fill="FFFFFF"/>
        </w:rPr>
        <w:t xml:space="preserve">(2015). </w:t>
      </w:r>
      <w:r w:rsidRPr="00EA5449">
        <w:rPr>
          <w:rStyle w:val="f153"/>
          <w:rFonts w:cs="Arial"/>
          <w:i/>
          <w:color w:val="000000"/>
          <w:sz w:val="18"/>
          <w:szCs w:val="18"/>
          <w:shd w:val="clear" w:color="auto" w:fill="FFFFFF"/>
        </w:rPr>
        <w:t>AVID Critical Thinking and Engagement: A</w:t>
      </w:r>
      <w:r>
        <w:rPr>
          <w:rStyle w:val="f153"/>
          <w:rFonts w:cs="Arial"/>
          <w:i/>
          <w:color w:val="000000"/>
          <w:sz w:val="18"/>
          <w:szCs w:val="18"/>
          <w:shd w:val="clear" w:color="auto" w:fill="FFFFFF"/>
        </w:rPr>
        <w:t xml:space="preserve"> </w:t>
      </w:r>
      <w:r w:rsidRPr="00EA5449">
        <w:rPr>
          <w:rStyle w:val="f153"/>
          <w:rFonts w:cs="Arial"/>
          <w:i/>
          <w:color w:val="000000"/>
          <w:sz w:val="18"/>
          <w:szCs w:val="18"/>
          <w:shd w:val="clear" w:color="auto" w:fill="FFFFFF"/>
        </w:rPr>
        <w:t>Schoolwide Approach</w:t>
      </w:r>
      <w:r w:rsidRPr="00EA5449">
        <w:rPr>
          <w:rStyle w:val="f153"/>
          <w:rFonts w:cs="Arial"/>
          <w:color w:val="000000"/>
          <w:sz w:val="18"/>
          <w:szCs w:val="18"/>
          <w:shd w:val="clear" w:color="auto" w:fill="FFFFFF"/>
        </w:rPr>
        <w:t>.</w:t>
      </w:r>
      <w:r w:rsidRPr="00EA5449">
        <w:rPr>
          <w:rStyle w:val="sp"/>
          <w:rFonts w:cs="Arial"/>
          <w:color w:val="000000"/>
          <w:sz w:val="18"/>
          <w:szCs w:val="18"/>
          <w:shd w:val="clear" w:color="auto" w:fill="FFFFFF"/>
        </w:rPr>
        <w:t xml:space="preserve"> </w:t>
      </w:r>
      <w:r w:rsidRPr="00EA5449">
        <w:rPr>
          <w:rStyle w:val="f149"/>
          <w:rFonts w:cs="Arial"/>
          <w:color w:val="000000"/>
          <w:sz w:val="18"/>
          <w:szCs w:val="18"/>
          <w:shd w:val="clear" w:color="auto" w:fill="FFFFFF"/>
        </w:rPr>
        <w:t>San Diego:</w:t>
      </w:r>
      <w:r w:rsidRPr="00EA5449">
        <w:rPr>
          <w:rStyle w:val="sp"/>
          <w:rFonts w:cs="Arial"/>
          <w:color w:val="000000"/>
          <w:sz w:val="18"/>
          <w:szCs w:val="18"/>
          <w:shd w:val="clear" w:color="auto" w:fill="FFFFFF"/>
        </w:rPr>
        <w:t xml:space="preserve"> </w:t>
      </w:r>
      <w:r w:rsidRPr="00EA5449">
        <w:rPr>
          <w:rStyle w:val="f149"/>
          <w:rFonts w:cs="Arial"/>
          <w:color w:val="000000"/>
          <w:sz w:val="18"/>
          <w:szCs w:val="18"/>
          <w:shd w:val="clear" w:color="auto" w:fill="FFFFFF"/>
        </w:rPr>
        <w:t>AVID Press.</w:t>
      </w:r>
    </w:p>
    <w:sectPr w:rsidR="00835C93" w:rsidSect="00D74073">
      <w:pgSz w:w="12240" w:h="15840"/>
      <w:pgMar w:top="288"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6D2ECB"/>
    <w:multiLevelType w:val="hybridMultilevel"/>
    <w:tmpl w:val="9BF6C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048"/>
    <w:rsid w:val="00055C79"/>
    <w:rsid w:val="000A1C9B"/>
    <w:rsid w:val="001E4031"/>
    <w:rsid w:val="00244EE1"/>
    <w:rsid w:val="00266D0C"/>
    <w:rsid w:val="002806FE"/>
    <w:rsid w:val="00296138"/>
    <w:rsid w:val="00403BAC"/>
    <w:rsid w:val="0043334C"/>
    <w:rsid w:val="00493BE6"/>
    <w:rsid w:val="005A48FD"/>
    <w:rsid w:val="005C5286"/>
    <w:rsid w:val="00695750"/>
    <w:rsid w:val="00730B8F"/>
    <w:rsid w:val="00746F43"/>
    <w:rsid w:val="007624D5"/>
    <w:rsid w:val="00766048"/>
    <w:rsid w:val="00770DCA"/>
    <w:rsid w:val="007A5D49"/>
    <w:rsid w:val="00803BFF"/>
    <w:rsid w:val="00835C93"/>
    <w:rsid w:val="00895C9E"/>
    <w:rsid w:val="008C1C78"/>
    <w:rsid w:val="008C7781"/>
    <w:rsid w:val="00910BDD"/>
    <w:rsid w:val="00920881"/>
    <w:rsid w:val="0093001C"/>
    <w:rsid w:val="00940660"/>
    <w:rsid w:val="00952586"/>
    <w:rsid w:val="00975AC2"/>
    <w:rsid w:val="00A2650F"/>
    <w:rsid w:val="00A307AE"/>
    <w:rsid w:val="00A46EF2"/>
    <w:rsid w:val="00A5736B"/>
    <w:rsid w:val="00B203C0"/>
    <w:rsid w:val="00C40649"/>
    <w:rsid w:val="00CA1CDE"/>
    <w:rsid w:val="00CA6BCB"/>
    <w:rsid w:val="00D05B4C"/>
    <w:rsid w:val="00D0679F"/>
    <w:rsid w:val="00D07823"/>
    <w:rsid w:val="00D74073"/>
    <w:rsid w:val="00DA0CB4"/>
    <w:rsid w:val="00DB5AA8"/>
    <w:rsid w:val="00DE3E42"/>
    <w:rsid w:val="00E436F3"/>
    <w:rsid w:val="00EA5449"/>
    <w:rsid w:val="00EB324F"/>
    <w:rsid w:val="00FB3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30659C-341E-403D-8FD8-15B4DDA79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6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0B8F"/>
    <w:pPr>
      <w:spacing w:after="0" w:line="240" w:lineRule="auto"/>
      <w:ind w:left="72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46F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F43"/>
    <w:rPr>
      <w:rFonts w:ascii="Segoe UI" w:hAnsi="Segoe UI" w:cs="Segoe UI"/>
      <w:sz w:val="18"/>
      <w:szCs w:val="18"/>
    </w:rPr>
  </w:style>
  <w:style w:type="character" w:customStyle="1" w:styleId="f149">
    <w:name w:val="f149"/>
    <w:basedOn w:val="DefaultParagraphFont"/>
    <w:rsid w:val="00EA5449"/>
  </w:style>
  <w:style w:type="character" w:customStyle="1" w:styleId="sp">
    <w:name w:val="sp"/>
    <w:basedOn w:val="DefaultParagraphFont"/>
    <w:rsid w:val="00EA5449"/>
  </w:style>
  <w:style w:type="character" w:customStyle="1" w:styleId="f153">
    <w:name w:val="f153"/>
    <w:basedOn w:val="DefaultParagraphFont"/>
    <w:rsid w:val="00EA5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457085">
      <w:bodyDiv w:val="1"/>
      <w:marLeft w:val="0"/>
      <w:marRight w:val="0"/>
      <w:marTop w:val="0"/>
      <w:marBottom w:val="0"/>
      <w:divBdr>
        <w:top w:val="none" w:sz="0" w:space="0" w:color="auto"/>
        <w:left w:val="none" w:sz="0" w:space="0" w:color="auto"/>
        <w:bottom w:val="none" w:sz="0" w:space="0" w:color="auto"/>
        <w:right w:val="none" w:sz="0" w:space="0" w:color="auto"/>
      </w:divBdr>
    </w:div>
    <w:div w:id="936792544">
      <w:bodyDiv w:val="1"/>
      <w:marLeft w:val="0"/>
      <w:marRight w:val="0"/>
      <w:marTop w:val="0"/>
      <w:marBottom w:val="0"/>
      <w:divBdr>
        <w:top w:val="none" w:sz="0" w:space="0" w:color="auto"/>
        <w:left w:val="none" w:sz="0" w:space="0" w:color="auto"/>
        <w:bottom w:val="none" w:sz="0" w:space="0" w:color="auto"/>
        <w:right w:val="none" w:sz="0" w:space="0" w:color="auto"/>
      </w:divBdr>
    </w:div>
    <w:div w:id="1312059400">
      <w:bodyDiv w:val="1"/>
      <w:marLeft w:val="0"/>
      <w:marRight w:val="0"/>
      <w:marTop w:val="0"/>
      <w:marBottom w:val="0"/>
      <w:divBdr>
        <w:top w:val="none" w:sz="0" w:space="0" w:color="auto"/>
        <w:left w:val="none" w:sz="0" w:space="0" w:color="auto"/>
        <w:bottom w:val="none" w:sz="0" w:space="0" w:color="auto"/>
        <w:right w:val="none" w:sz="0" w:space="0" w:color="auto"/>
      </w:divBdr>
    </w:div>
    <w:div w:id="189183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Pasadena Independent School District</Company>
  <LinksUpToDate>false</LinksUpToDate>
  <CharactersWithSpaces>7190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Collins</dc:creator>
  <cp:keywords/>
  <dc:description/>
  <cp:lastModifiedBy>Madeline Collins</cp:lastModifiedBy>
  <cp:revision>4</cp:revision>
  <cp:lastPrinted>2016-03-18T02:38:00Z</cp:lastPrinted>
  <dcterms:created xsi:type="dcterms:W3CDTF">2016-04-01T00:13:00Z</dcterms:created>
  <dcterms:modified xsi:type="dcterms:W3CDTF">2016-04-01T00:15:00Z</dcterms:modified>
</cp:coreProperties>
</file>